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245D9">
      <w:pPr>
        <w:spacing w:line="580" w:lineRule="exact"/>
        <w:rPr>
          <w:rFonts w:hint="default" w:ascii="Times New Roman" w:hAnsi="Times New Roman" w:eastAsia="黑体" w:cs="Times New Roman"/>
          <w:color w:val="auto"/>
          <w:sz w:val="32"/>
          <w:szCs w:val="32"/>
        </w:rPr>
      </w:pPr>
      <w:bookmarkStart w:id="0" w:name="_GoBack"/>
      <w:r>
        <w:rPr>
          <w:rFonts w:hint="default" w:ascii="Times New Roman" w:hAnsi="Times New Roman" w:eastAsia="黑体" w:cs="Times New Roman"/>
          <w:color w:val="auto"/>
          <w:sz w:val="32"/>
          <w:szCs w:val="32"/>
        </w:rPr>
        <w:t>附件3</w:t>
      </w:r>
    </w:p>
    <w:p w14:paraId="310E5659">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default" w:ascii="Times New Roman" w:hAnsi="Times New Roman" w:eastAsia="仿宋_GB2312" w:cs="Times New Roman"/>
          <w:color w:val="auto"/>
          <w:sz w:val="32"/>
          <w:szCs w:val="32"/>
        </w:rPr>
      </w:pPr>
    </w:p>
    <w:p w14:paraId="0226122D">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中共六安市委组织部202</w:t>
      </w:r>
      <w:r>
        <w:rPr>
          <w:rFonts w:hint="default" w:ascii="Times New Roman" w:hAnsi="Times New Roman" w:eastAsia="方正小标宋简体" w:cs="Times New Roman"/>
          <w:color w:val="auto"/>
          <w:sz w:val="44"/>
          <w:szCs w:val="44"/>
          <w:lang w:val="en-US" w:eastAsia="zh-CN"/>
        </w:rPr>
        <w:t>6</w:t>
      </w:r>
      <w:r>
        <w:rPr>
          <w:rFonts w:hint="default" w:ascii="Times New Roman" w:hAnsi="Times New Roman" w:eastAsia="方正小标宋简体" w:cs="Times New Roman"/>
          <w:color w:val="auto"/>
          <w:sz w:val="44"/>
          <w:szCs w:val="44"/>
        </w:rPr>
        <w:t>年一般公共预算</w:t>
      </w:r>
    </w:p>
    <w:p w14:paraId="0E1356DF">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安排“三公”经费情况</w:t>
      </w:r>
    </w:p>
    <w:p w14:paraId="16F867E1">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default" w:ascii="Times New Roman" w:hAnsi="Times New Roman" w:eastAsia="仿宋_GB2312" w:cs="Times New Roman"/>
          <w:color w:val="auto"/>
          <w:sz w:val="32"/>
          <w:szCs w:val="32"/>
        </w:rPr>
      </w:pPr>
    </w:p>
    <w:p w14:paraId="52B5E56C">
      <w:pPr>
        <w:spacing w:line="560" w:lineRule="exact"/>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eastAsia="zh-CN"/>
        </w:rPr>
        <w:t>2026</w:t>
      </w:r>
      <w:r>
        <w:rPr>
          <w:rFonts w:hint="default" w:ascii="Times New Roman" w:hAnsi="Times New Roman" w:eastAsia="黑体" w:cs="Times New Roman"/>
          <w:color w:val="auto"/>
          <w:sz w:val="32"/>
          <w:szCs w:val="32"/>
        </w:rPr>
        <w:t>年</w:t>
      </w:r>
      <w:r>
        <w:rPr>
          <w:rFonts w:hint="eastAsia" w:ascii="Times New Roman" w:hAnsi="Times New Roman" w:eastAsia="黑体" w:cs="Times New Roman"/>
          <w:color w:val="auto"/>
          <w:sz w:val="32"/>
          <w:szCs w:val="32"/>
          <w:lang w:val="en-US" w:eastAsia="zh-CN"/>
        </w:rPr>
        <w:t>一般公共预算</w:t>
      </w:r>
      <w:r>
        <w:rPr>
          <w:rFonts w:hint="default" w:ascii="Times New Roman" w:hAnsi="Times New Roman" w:eastAsia="黑体" w:cs="Times New Roman"/>
          <w:color w:val="auto"/>
          <w:sz w:val="32"/>
          <w:szCs w:val="32"/>
        </w:rPr>
        <w:t>“三公”经费预算表</w:t>
      </w:r>
    </w:p>
    <w:p w14:paraId="272F5367">
      <w:pPr>
        <w:keepNext w:val="0"/>
        <w:keepLines w:val="0"/>
        <w:pageBreakBefore w:val="0"/>
        <w:widowControl w:val="0"/>
        <w:kinsoku/>
        <w:wordWrap/>
        <w:overflowPunct/>
        <w:topLinePunct w:val="0"/>
        <w:autoSpaceDE/>
        <w:autoSpaceDN/>
        <w:bidi w:val="0"/>
        <w:spacing w:after="0" w:line="560" w:lineRule="exact"/>
        <w:jc w:val="righ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单位：万元</w:t>
      </w:r>
    </w:p>
    <w:tbl>
      <w:tblPr>
        <w:tblStyle w:val="5"/>
        <w:tblW w:w="8784" w:type="dxa"/>
        <w:tblInd w:w="113" w:type="dxa"/>
        <w:tblLayout w:type="autofit"/>
        <w:tblCellMar>
          <w:top w:w="0" w:type="dxa"/>
          <w:left w:w="108" w:type="dxa"/>
          <w:bottom w:w="0" w:type="dxa"/>
          <w:right w:w="108" w:type="dxa"/>
        </w:tblCellMar>
      </w:tblPr>
      <w:tblGrid>
        <w:gridCol w:w="1696"/>
        <w:gridCol w:w="1418"/>
        <w:gridCol w:w="887"/>
        <w:gridCol w:w="1664"/>
        <w:gridCol w:w="1724"/>
        <w:gridCol w:w="1395"/>
      </w:tblGrid>
      <w:tr w14:paraId="396A5F62">
        <w:tblPrEx>
          <w:tblCellMar>
            <w:top w:w="0" w:type="dxa"/>
            <w:left w:w="108" w:type="dxa"/>
            <w:bottom w:w="0" w:type="dxa"/>
            <w:right w:w="108" w:type="dxa"/>
          </w:tblCellMar>
        </w:tblPrEx>
        <w:trPr>
          <w:trHeight w:val="375" w:hRule="atLeast"/>
        </w:trPr>
        <w:tc>
          <w:tcPr>
            <w:tcW w:w="1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B39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“三公”经费合计</w:t>
            </w:r>
          </w:p>
        </w:tc>
        <w:tc>
          <w:tcPr>
            <w:tcW w:w="14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5106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因公出国（境）费</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94562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公务用车购置及运行费</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13DE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公务</w:t>
            </w:r>
          </w:p>
          <w:p w14:paraId="34B907B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接待费</w:t>
            </w:r>
          </w:p>
        </w:tc>
      </w:tr>
      <w:tr w14:paraId="5C95C73A">
        <w:tblPrEx>
          <w:tblCellMar>
            <w:top w:w="0" w:type="dxa"/>
            <w:left w:w="108" w:type="dxa"/>
            <w:bottom w:w="0" w:type="dxa"/>
            <w:right w:w="108" w:type="dxa"/>
          </w:tblCellMar>
        </w:tblPrEx>
        <w:trPr>
          <w:trHeight w:val="912" w:hRule="atLeast"/>
        </w:trPr>
        <w:tc>
          <w:tcPr>
            <w:tcW w:w="1696" w:type="dxa"/>
            <w:vMerge w:val="continue"/>
            <w:tcBorders>
              <w:top w:val="single" w:color="000000" w:sz="4" w:space="0"/>
              <w:left w:val="single" w:color="000000" w:sz="4" w:space="0"/>
              <w:bottom w:val="single" w:color="000000" w:sz="4" w:space="0"/>
              <w:right w:val="single" w:color="000000" w:sz="4" w:space="0"/>
            </w:tcBorders>
            <w:vAlign w:val="center"/>
          </w:tcPr>
          <w:p w14:paraId="40DA1342">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cs="Times New Roman"/>
                <w:b/>
                <w:bCs/>
                <w:color w:val="auto"/>
                <w:kern w:val="0"/>
                <w:sz w:val="28"/>
                <w:szCs w:val="28"/>
              </w:rPr>
            </w:pPr>
          </w:p>
        </w:tc>
        <w:tc>
          <w:tcPr>
            <w:tcW w:w="1418" w:type="dxa"/>
            <w:vMerge w:val="continue"/>
            <w:tcBorders>
              <w:top w:val="single" w:color="000000" w:sz="4" w:space="0"/>
              <w:left w:val="single" w:color="000000" w:sz="4" w:space="0"/>
              <w:bottom w:val="single" w:color="000000" w:sz="4" w:space="0"/>
              <w:right w:val="single" w:color="000000" w:sz="4" w:space="0"/>
            </w:tcBorders>
            <w:vAlign w:val="center"/>
          </w:tcPr>
          <w:p w14:paraId="0921B0F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cs="Times New Roman"/>
                <w:b/>
                <w:bCs/>
                <w:color w:val="auto"/>
                <w:kern w:val="0"/>
                <w:sz w:val="28"/>
                <w:szCs w:val="28"/>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62A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小计</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37C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公务用车</w:t>
            </w:r>
          </w:p>
          <w:p w14:paraId="2D6B444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购置费</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833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公务用车</w:t>
            </w:r>
          </w:p>
          <w:p w14:paraId="07267C9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运行费</w:t>
            </w:r>
          </w:p>
        </w:tc>
        <w:tc>
          <w:tcPr>
            <w:tcW w:w="1395" w:type="dxa"/>
            <w:vMerge w:val="continue"/>
            <w:tcBorders>
              <w:top w:val="single" w:color="000000" w:sz="4" w:space="0"/>
              <w:left w:val="single" w:color="000000" w:sz="4" w:space="0"/>
              <w:bottom w:val="single" w:color="000000" w:sz="4" w:space="0"/>
              <w:right w:val="single" w:color="000000" w:sz="4" w:space="0"/>
            </w:tcBorders>
            <w:vAlign w:val="center"/>
          </w:tcPr>
          <w:p w14:paraId="6A871DF9">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cs="Times New Roman"/>
                <w:b/>
                <w:bCs/>
                <w:color w:val="auto"/>
                <w:kern w:val="0"/>
                <w:sz w:val="28"/>
                <w:szCs w:val="28"/>
              </w:rPr>
            </w:pPr>
          </w:p>
        </w:tc>
      </w:tr>
      <w:tr w14:paraId="7B76DB8D">
        <w:tblPrEx>
          <w:tblCellMar>
            <w:top w:w="0" w:type="dxa"/>
            <w:left w:w="108" w:type="dxa"/>
            <w:bottom w:w="0" w:type="dxa"/>
            <w:right w:w="108" w:type="dxa"/>
          </w:tblCellMar>
        </w:tblPrEx>
        <w:trPr>
          <w:trHeight w:val="54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D9E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cs="Times New Roman"/>
                <w:b/>
                <w:bCs/>
                <w:color w:val="auto"/>
                <w:kern w:val="0"/>
                <w:sz w:val="28"/>
                <w:szCs w:val="28"/>
                <w:lang w:val="en-US" w:eastAsia="zh-CN"/>
              </w:rPr>
              <w:t>3</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7676">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default" w:ascii="Times New Roman" w:hAnsi="Times New Roman" w:eastAsia="Times New Roman" w:cs="Times New Roman"/>
                <w:b/>
                <w:bCs/>
                <w:color w:val="auto"/>
                <w:kern w:val="0"/>
                <w:sz w:val="28"/>
                <w:szCs w:val="28"/>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7218">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default" w:ascii="Times New Roman" w:hAnsi="Times New Roman" w:eastAsia="Times New Roman" w:cs="Times New Roman"/>
                <w:b/>
                <w:bCs/>
                <w:color w:val="auto"/>
                <w:kern w:val="0"/>
                <w:sz w:val="28"/>
                <w:szCs w:val="28"/>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EBC6">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default" w:ascii="Times New Roman" w:hAnsi="Times New Roman" w:eastAsia="Times New Roman" w:cs="Times New Roman"/>
                <w:b/>
                <w:bCs/>
                <w:color w:val="auto"/>
                <w:kern w:val="0"/>
                <w:sz w:val="28"/>
                <w:szCs w:val="28"/>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B15E">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default" w:ascii="Times New Roman" w:hAnsi="Times New Roman" w:eastAsia="Times New Roman" w:cs="Times New Roman"/>
                <w:b/>
                <w:bCs/>
                <w:color w:val="auto"/>
                <w:kern w:val="0"/>
                <w:sz w:val="28"/>
                <w:szCs w:val="28"/>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43F4">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cs="Times New Roman"/>
                <w:b/>
                <w:bCs/>
                <w:color w:val="auto"/>
                <w:kern w:val="0"/>
                <w:sz w:val="28"/>
                <w:szCs w:val="28"/>
                <w:lang w:val="en-US" w:eastAsia="zh-CN"/>
              </w:rPr>
              <w:t>3</w:t>
            </w:r>
          </w:p>
        </w:tc>
      </w:tr>
    </w:tbl>
    <w:p w14:paraId="4AB41239">
      <w:pPr>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eastAsia="zh-CN"/>
        </w:rPr>
        <w:t>2026</w:t>
      </w:r>
      <w:r>
        <w:rPr>
          <w:rFonts w:hint="default" w:ascii="Times New Roman" w:hAnsi="Times New Roman" w:eastAsia="黑体" w:cs="Times New Roman"/>
          <w:color w:val="auto"/>
          <w:sz w:val="32"/>
          <w:szCs w:val="32"/>
        </w:rPr>
        <w:t>年一般公共预算“三公”经费支出预算情况说明</w:t>
      </w:r>
    </w:p>
    <w:p w14:paraId="1FF6C5D0">
      <w:pPr>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年，中共六安市委组织部一般公共预算财政拨款“三公”经费支出预算</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万元，与</w:t>
      </w:r>
      <w:r>
        <w:rPr>
          <w:rFonts w:hint="default" w:ascii="Times New Roman" w:hAnsi="Times New Roman" w:eastAsia="仿宋_GB2312" w:cs="Times New Roman"/>
          <w:color w:val="auto"/>
          <w:sz w:val="32"/>
          <w:szCs w:val="32"/>
          <w:lang w:val="en" w:eastAsia="zh-CN"/>
        </w:rPr>
        <w:t>2025</w:t>
      </w:r>
      <w:r>
        <w:rPr>
          <w:rFonts w:hint="default" w:ascii="Times New Roman" w:hAnsi="Times New Roman" w:eastAsia="仿宋_GB2312" w:cs="Times New Roman"/>
          <w:color w:val="auto"/>
          <w:sz w:val="32"/>
          <w:szCs w:val="32"/>
          <w:lang w:val="en"/>
        </w:rPr>
        <w:t>年</w:t>
      </w:r>
      <w:r>
        <w:rPr>
          <w:rFonts w:hint="default" w:ascii="Times New Roman" w:hAnsi="Times New Roman" w:eastAsia="仿宋_GB2312" w:cs="Times New Roman"/>
          <w:color w:val="auto"/>
          <w:sz w:val="32"/>
          <w:szCs w:val="32"/>
        </w:rPr>
        <w:t>相比预算减少</w:t>
      </w:r>
      <w:r>
        <w:rPr>
          <w:rFonts w:hint="eastAsia" w:ascii="Times New Roman" w:hAnsi="Times New Roman" w:eastAsia="仿宋_GB2312" w:cs="Times New Roman"/>
          <w:color w:val="auto"/>
          <w:sz w:val="32"/>
          <w:szCs w:val="32"/>
          <w:lang w:val="en-US" w:eastAsia="zh-CN"/>
        </w:rPr>
        <w:t>6.5</w:t>
      </w:r>
      <w:r>
        <w:rPr>
          <w:rFonts w:hint="default" w:ascii="Times New Roman" w:hAnsi="Times New Roman" w:eastAsia="仿宋_GB2312" w:cs="Times New Roman"/>
          <w:color w:val="auto"/>
          <w:sz w:val="32"/>
          <w:szCs w:val="32"/>
        </w:rPr>
        <w:t>万元，下降</w:t>
      </w:r>
      <w:r>
        <w:rPr>
          <w:rFonts w:hint="eastAsia" w:ascii="Times New Roman" w:hAnsi="Times New Roman" w:eastAsia="仿宋_GB2312" w:cs="Times New Roman"/>
          <w:color w:val="auto"/>
          <w:sz w:val="32"/>
          <w:szCs w:val="32"/>
          <w:lang w:val="en-US" w:eastAsia="zh-CN"/>
        </w:rPr>
        <w:t>68.4</w:t>
      </w:r>
      <w:r>
        <w:rPr>
          <w:rFonts w:hint="default" w:ascii="Times New Roman" w:hAnsi="Times New Roman" w:eastAsia="仿宋_GB2312" w:cs="Times New Roman"/>
          <w:color w:val="auto"/>
          <w:sz w:val="32"/>
          <w:szCs w:val="32"/>
        </w:rPr>
        <w:t>%。其中：因公出国（境）费</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万元，公务用车购置及运行费</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万元，公务接待费</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万元。具体情况如下：</w:t>
      </w:r>
    </w:p>
    <w:p w14:paraId="590F749C">
      <w:pPr>
        <w:keepNext w:val="0"/>
        <w:keepLines w:val="0"/>
        <w:pageBreakBefore w:val="0"/>
        <w:widowControl w:val="0"/>
        <w:kinsoku/>
        <w:wordWrap/>
        <w:overflowPunct/>
        <w:topLinePunct w:val="0"/>
        <w:autoSpaceDE/>
        <w:autoSpaceDN/>
        <w:bidi w:val="0"/>
        <w:spacing w:after="0" w:line="560" w:lineRule="exact"/>
        <w:ind w:firstLine="643" w:firstLineChars="200"/>
        <w:textAlignment w:val="auto"/>
        <w:rPr>
          <w:rFonts w:hint="default" w:ascii="Times New Roman" w:hAnsi="Times New Roman" w:eastAsia="仿宋_GB2312" w:cs="Times New Roman"/>
          <w:color w:val="auto"/>
          <w:sz w:val="32"/>
          <w:szCs w:val="32"/>
        </w:rPr>
      </w:pPr>
      <w:r>
        <w:rPr>
          <w:rFonts w:hint="eastAsia" w:ascii="楷体_GB2312" w:hAnsi="楷体_GB2312" w:eastAsia="楷体_GB2312" w:cs="楷体_GB2312"/>
          <w:b/>
          <w:color w:val="auto"/>
          <w:sz w:val="32"/>
          <w:szCs w:val="32"/>
        </w:rPr>
        <w:t>（一）因公出国（境）费。</w:t>
      </w:r>
      <w:r>
        <w:rPr>
          <w:rFonts w:hint="default" w:ascii="Times New Roman" w:hAnsi="Times New Roman" w:eastAsia="仿宋_GB2312" w:cs="Times New Roman"/>
          <w:color w:val="auto"/>
          <w:sz w:val="32"/>
          <w:szCs w:val="32"/>
        </w:rPr>
        <w:t>支出预算0 万元，与202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预算持平。该项经费预算根据批准的因公临时出国（境）计划，按照规定标准安排；主要是用于因公临时出国（境）业务培训、调研考察等外事活动。经费使用贯彻落实中央八项规定精神和市委市政府过紧日子要求，严控“三公”经费支出。</w:t>
      </w:r>
    </w:p>
    <w:p w14:paraId="40F9596B">
      <w:pPr>
        <w:keepNext w:val="0"/>
        <w:keepLines w:val="0"/>
        <w:pageBreakBefore w:val="0"/>
        <w:widowControl w:val="0"/>
        <w:kinsoku/>
        <w:wordWrap/>
        <w:overflowPunct/>
        <w:topLinePunct w:val="0"/>
        <w:autoSpaceDE/>
        <w:autoSpaceDN/>
        <w:bidi w:val="0"/>
        <w:spacing w:after="0" w:line="560" w:lineRule="exact"/>
        <w:ind w:firstLine="643" w:firstLineChars="200"/>
        <w:textAlignment w:val="auto"/>
        <w:rPr>
          <w:rFonts w:hint="default" w:ascii="Times New Roman" w:hAnsi="Times New Roman" w:eastAsia="仿宋_GB2312" w:cs="Times New Roman"/>
          <w:color w:val="auto"/>
          <w:sz w:val="32"/>
          <w:szCs w:val="32"/>
        </w:rPr>
      </w:pPr>
      <w:r>
        <w:rPr>
          <w:rFonts w:hint="default" w:ascii="楷体_GB2312" w:hAnsi="楷体_GB2312" w:eastAsia="楷体_GB2312" w:cs="楷体_GB2312"/>
          <w:b/>
          <w:color w:val="auto"/>
          <w:sz w:val="32"/>
          <w:szCs w:val="32"/>
        </w:rPr>
        <w:t>（二）公务用车购置及运行费。</w:t>
      </w:r>
      <w:r>
        <w:rPr>
          <w:rFonts w:hint="default" w:ascii="Times New Roman" w:hAnsi="Times New Roman" w:eastAsia="仿宋_GB2312" w:cs="Times New Roman"/>
          <w:color w:val="auto"/>
          <w:sz w:val="32"/>
          <w:szCs w:val="32"/>
        </w:rPr>
        <w:t>支出预算0万元，与2025年相比持平，主要原因是贯彻落实中央八项规定精神和市委市政府过紧日子要求，严控“三公”经费支出。其中：公务用车运行费0万元，与2025年相比持平，主要原因是本部门公务用车使用平台统一派车，无公务车辆。公务用车购置费0万元，与2025年相比持平，主要原因是本单位公务用车使用平台统一派车，无购车安排。</w:t>
      </w:r>
    </w:p>
    <w:p w14:paraId="50A96B0E">
      <w:pPr>
        <w:pStyle w:val="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楷体_GB2312" w:hAnsi="楷体_GB2312" w:eastAsia="楷体_GB2312" w:cs="楷体_GB2312"/>
          <w:b/>
          <w:color w:val="auto"/>
          <w:kern w:val="2"/>
          <w:sz w:val="32"/>
          <w:szCs w:val="32"/>
          <w:lang w:val="en-US" w:eastAsia="zh-CN" w:bidi="ar-SA"/>
        </w:rPr>
        <w:t>（三）公务接待费。</w:t>
      </w:r>
      <w:r>
        <w:rPr>
          <w:rFonts w:hint="default" w:ascii="Times New Roman" w:hAnsi="Times New Roman" w:eastAsia="仿宋_GB2312" w:cs="Times New Roman"/>
          <w:color w:val="auto"/>
          <w:sz w:val="32"/>
          <w:szCs w:val="32"/>
        </w:rPr>
        <w:t>支出预算3万元，与202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相比减少6.5万元，下降68.4%，主要原因是缩减“三公”经费，压减机关开支要求。该项经费主要用于保障公务人员出席会议、考察调研、执行任务、检查指导等国内公务活动开支。经费使用贯彻落实中央八项规定精神和严格执行市直机关公务接待费管理办法规定。</w:t>
      </w:r>
    </w:p>
    <w:bookmarkEnd w:id="0"/>
    <w:sectPr>
      <w:pgSz w:w="11906" w:h="16838"/>
      <w:pgMar w:top="2098" w:right="1587" w:bottom="1701"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02701E"/>
    <w:rsid w:val="000830FA"/>
    <w:rsid w:val="001436B3"/>
    <w:rsid w:val="001C216A"/>
    <w:rsid w:val="001C267F"/>
    <w:rsid w:val="00244DAF"/>
    <w:rsid w:val="00343F27"/>
    <w:rsid w:val="00392BC6"/>
    <w:rsid w:val="004F0C25"/>
    <w:rsid w:val="008209DA"/>
    <w:rsid w:val="008C0152"/>
    <w:rsid w:val="0092239C"/>
    <w:rsid w:val="00957561"/>
    <w:rsid w:val="009B04CA"/>
    <w:rsid w:val="00A33012"/>
    <w:rsid w:val="00A95D67"/>
    <w:rsid w:val="00AE1378"/>
    <w:rsid w:val="00B95EE1"/>
    <w:rsid w:val="00C213DE"/>
    <w:rsid w:val="00C2545E"/>
    <w:rsid w:val="00C30D09"/>
    <w:rsid w:val="00CF45A4"/>
    <w:rsid w:val="00E21DA0"/>
    <w:rsid w:val="00EF6964"/>
    <w:rsid w:val="00FA1828"/>
    <w:rsid w:val="011D0213"/>
    <w:rsid w:val="09235E0F"/>
    <w:rsid w:val="157E5F01"/>
    <w:rsid w:val="1651322F"/>
    <w:rsid w:val="1844012A"/>
    <w:rsid w:val="2012073C"/>
    <w:rsid w:val="216F69C8"/>
    <w:rsid w:val="21D01390"/>
    <w:rsid w:val="22D723B0"/>
    <w:rsid w:val="239C4DCD"/>
    <w:rsid w:val="31DE4CF4"/>
    <w:rsid w:val="33CC0F9E"/>
    <w:rsid w:val="3C224F51"/>
    <w:rsid w:val="3D6E1C63"/>
    <w:rsid w:val="43587225"/>
    <w:rsid w:val="439E6736"/>
    <w:rsid w:val="4CC12DF4"/>
    <w:rsid w:val="4FC66B1A"/>
    <w:rsid w:val="5602701E"/>
    <w:rsid w:val="5CAD2507"/>
    <w:rsid w:val="63757B06"/>
    <w:rsid w:val="73876D69"/>
    <w:rsid w:val="738F2274"/>
    <w:rsid w:val="7D86481E"/>
    <w:rsid w:val="FF76D0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7">
    <w:name w:val="页脚 字符"/>
    <w:link w:val="2"/>
    <w:semiHidden/>
    <w:qFormat/>
    <w:locked/>
    <w:uiPriority w:val="99"/>
    <w:rPr>
      <w:sz w:val="18"/>
      <w:szCs w:val="18"/>
    </w:rPr>
  </w:style>
  <w:style w:type="character" w:customStyle="1" w:styleId="8">
    <w:name w:val="页眉 字符"/>
    <w:link w:val="3"/>
    <w:semiHidden/>
    <w:qFormat/>
    <w:locked/>
    <w:uiPriority w:val="99"/>
    <w:rPr>
      <w:sz w:val="18"/>
      <w:szCs w:val="18"/>
    </w:rPr>
  </w:style>
  <w:style w:type="paragraph" w:customStyle="1" w:styleId="9">
    <w:name w:val="Default"/>
    <w:qFormat/>
    <w:uiPriority w:val="99"/>
    <w:pPr>
      <w:widowControl w:val="0"/>
      <w:autoSpaceDE w:val="0"/>
      <w:autoSpaceDN w:val="0"/>
      <w:adjustRightInd w:val="0"/>
      <w:spacing w:after="160" w:line="278" w:lineRule="auto"/>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czj</Company>
  <Pages>2</Pages>
  <Words>655</Words>
  <Characters>697</Characters>
  <Lines>6</Lines>
  <Paragraphs>1</Paragraphs>
  <TotalTime>1</TotalTime>
  <ScaleCrop>false</ScaleCrop>
  <LinksUpToDate>false</LinksUpToDate>
  <CharactersWithSpaces>698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2019-01-17T15:55:00Z</dcterms:created>
  <dc:creator>文静</dc:creator>
  <cp:lastModifiedBy>肖文涛</cp:lastModifiedBy>
  <cp:lastPrinted>2019-01-18T11:42:00Z</cp:lastPrinted>
  <dcterms:modified xsi:type="dcterms:W3CDTF">2026-02-26T07:37:40Z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30575DC0DF10431D84FDFDFCFB23A9C6_13</vt:lpwstr>
  </property>
  <property fmtid="{D5CDD505-2E9C-101B-9397-08002B2CF9AE}" pid="4" name="KSOTemplateDocerSaveRecord">
    <vt:lpwstr>eyJoZGlkIjoiNWFiNDU3ZDI2MTYwYzZjZmZjZjhjODFhMGE5MTRlOGIiLCJ1c2VySWQiOiI0MjI2NjE2NjkifQ==</vt:lpwstr>
  </property>
</Properties>
</file>